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4C0F" w14:textId="77777777" w:rsidR="00A954FA" w:rsidRDefault="00A954FA" w:rsidP="006641F1">
      <w:pPr>
        <w:spacing w:line="276" w:lineRule="auto"/>
        <w:jc w:val="both"/>
        <w:rPr>
          <w:rFonts w:cs="Arial"/>
          <w:b/>
          <w:bCs/>
        </w:rPr>
      </w:pPr>
      <w:bookmarkStart w:id="0" w:name="_GoBack"/>
      <w:bookmarkEnd w:id="0"/>
    </w:p>
    <w:p w14:paraId="33BDA4D4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13D17B46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6157C9B1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06BDD310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08FC357E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704778C4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363C2EF2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188BB286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0B2E69E9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71622FED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437BF253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3D6D68E4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0BC14D7B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79D01142" w14:textId="77777777" w:rsidR="00D45083" w:rsidRDefault="00D45083" w:rsidP="006641F1">
      <w:pPr>
        <w:spacing w:line="276" w:lineRule="auto"/>
        <w:jc w:val="both"/>
        <w:rPr>
          <w:rFonts w:cs="Arial"/>
          <w:b/>
          <w:bCs/>
        </w:rPr>
      </w:pPr>
    </w:p>
    <w:p w14:paraId="619E67C5" w14:textId="2AA1E5C7" w:rsidR="001D7993" w:rsidRDefault="009A45EE" w:rsidP="006641F1">
      <w:pPr>
        <w:spacing w:line="276" w:lineRule="auto"/>
        <w:jc w:val="both"/>
        <w:rPr>
          <w:rFonts w:cs="Arial"/>
          <w:b/>
        </w:rPr>
      </w:pPr>
      <w:r w:rsidRPr="00201A3C">
        <w:rPr>
          <w:rFonts w:cs="Arial"/>
          <w:b/>
          <w:bCs/>
        </w:rPr>
        <w:t xml:space="preserve">Ihre </w:t>
      </w:r>
      <w:r w:rsidR="001D7993">
        <w:rPr>
          <w:rFonts w:cs="Arial"/>
          <w:b/>
          <w:bCs/>
        </w:rPr>
        <w:t xml:space="preserve">neue </w:t>
      </w:r>
      <w:r w:rsidRPr="00201A3C">
        <w:rPr>
          <w:rFonts w:cs="Arial"/>
          <w:b/>
          <w:bCs/>
        </w:rPr>
        <w:t>betriebliche Altersversorgung</w:t>
      </w:r>
      <w:r w:rsidR="001D7993">
        <w:rPr>
          <w:rFonts w:cs="Arial"/>
          <w:b/>
          <w:bCs/>
        </w:rPr>
        <w:t xml:space="preserve"> </w:t>
      </w:r>
      <w:bookmarkStart w:id="1" w:name="_Hlk77152718"/>
    </w:p>
    <w:p w14:paraId="4D3FF04A" w14:textId="57BBFB24" w:rsidR="00662062" w:rsidRPr="00201A3C" w:rsidRDefault="0090105E" w:rsidP="006641F1">
      <w:pPr>
        <w:spacing w:line="276" w:lineRule="auto"/>
        <w:jc w:val="both"/>
        <w:rPr>
          <w:rFonts w:cs="Arial"/>
          <w:b/>
        </w:rPr>
      </w:pPr>
      <w:r w:rsidRPr="00201A3C">
        <w:rPr>
          <w:rFonts w:cs="Arial"/>
          <w:b/>
        </w:rPr>
        <w:t xml:space="preserve">Herzlich willkommen bei Ihrer neuen </w:t>
      </w:r>
      <w:r w:rsidRPr="007C31FE">
        <w:rPr>
          <w:rFonts w:cs="Arial"/>
          <w:b/>
          <w:i/>
          <w:u w:val="single"/>
        </w:rPr>
        <w:t>BusRente Hessen</w:t>
      </w:r>
      <w:r w:rsidRPr="00201A3C">
        <w:rPr>
          <w:rFonts w:cs="Arial"/>
          <w:b/>
        </w:rPr>
        <w:t xml:space="preserve">! </w:t>
      </w:r>
    </w:p>
    <w:p w14:paraId="5B6C0A01" w14:textId="3E39DF7F" w:rsidR="0090105E" w:rsidRPr="00201A3C" w:rsidRDefault="0090105E" w:rsidP="006641F1">
      <w:pPr>
        <w:spacing w:line="276" w:lineRule="auto"/>
        <w:jc w:val="both"/>
        <w:rPr>
          <w:rFonts w:cs="Arial"/>
          <w:b/>
        </w:rPr>
      </w:pPr>
      <w:r w:rsidRPr="00201A3C">
        <w:rPr>
          <w:rFonts w:cs="Arial"/>
          <w:b/>
        </w:rPr>
        <w:t>Gemeinsam sorgen wir dafür, dass Sie gelassen in die Zukunft blicken</w:t>
      </w:r>
    </w:p>
    <w:p w14:paraId="5AC8B30F" w14:textId="77777777" w:rsidR="0090105E" w:rsidRPr="00201A3C" w:rsidRDefault="0090105E" w:rsidP="006641F1">
      <w:pPr>
        <w:spacing w:line="276" w:lineRule="auto"/>
        <w:jc w:val="both"/>
        <w:rPr>
          <w:rFonts w:cs="Arial"/>
        </w:rPr>
      </w:pPr>
    </w:p>
    <w:p w14:paraId="4CB37A69" w14:textId="77777777" w:rsidR="00D45083" w:rsidRDefault="00D45083" w:rsidP="006641F1">
      <w:pPr>
        <w:spacing w:before="120" w:after="120" w:line="276" w:lineRule="auto"/>
        <w:jc w:val="both"/>
        <w:rPr>
          <w:rFonts w:cs="Arial"/>
        </w:rPr>
      </w:pPr>
    </w:p>
    <w:p w14:paraId="45A2A449" w14:textId="77777777" w:rsidR="0030776F" w:rsidRDefault="000C6A26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>Liebe Frau…../</w:t>
      </w:r>
    </w:p>
    <w:p w14:paraId="608A3976" w14:textId="27F0380A" w:rsidR="0090105E" w:rsidRDefault="000C6A26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>Lieber Herr,</w:t>
      </w:r>
    </w:p>
    <w:p w14:paraId="41C0F0F1" w14:textId="77777777" w:rsidR="00A954FA" w:rsidRPr="00201A3C" w:rsidRDefault="00A954FA" w:rsidP="006641F1">
      <w:pPr>
        <w:spacing w:before="120" w:after="120" w:line="276" w:lineRule="auto"/>
        <w:jc w:val="both"/>
        <w:rPr>
          <w:rFonts w:cs="Arial"/>
        </w:rPr>
      </w:pPr>
    </w:p>
    <w:p w14:paraId="286C9A86" w14:textId="5CD892FA" w:rsidR="008F6482" w:rsidRDefault="0090105E" w:rsidP="006641F1">
      <w:pPr>
        <w:spacing w:before="120" w:after="120" w:line="276" w:lineRule="auto"/>
        <w:jc w:val="both"/>
        <w:rPr>
          <w:rFonts w:cs="Arial"/>
        </w:rPr>
      </w:pPr>
      <w:bookmarkStart w:id="2" w:name="_Hlk77152768"/>
      <w:bookmarkEnd w:id="1"/>
      <w:r w:rsidRPr="00201A3C">
        <w:rPr>
          <w:rFonts w:cs="Arial"/>
        </w:rPr>
        <w:t xml:space="preserve">wir haben gute Nachrichten </w:t>
      </w:r>
      <w:r w:rsidR="008F6482">
        <w:rPr>
          <w:rFonts w:cs="Arial"/>
        </w:rPr>
        <w:t xml:space="preserve">und sehr wichtige Informationen </w:t>
      </w:r>
      <w:r w:rsidRPr="00201A3C">
        <w:rPr>
          <w:rFonts w:cs="Arial"/>
        </w:rPr>
        <w:t xml:space="preserve">für Sie! </w:t>
      </w:r>
    </w:p>
    <w:p w14:paraId="04B2596E" w14:textId="77777777" w:rsidR="006239DF" w:rsidRDefault="008F6482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 xml:space="preserve">Bitte lesen Sie dieses Schreiben aufmerksam durch und wenden </w:t>
      </w:r>
      <w:r w:rsidR="00FB081D">
        <w:rPr>
          <w:rFonts w:cs="Arial"/>
        </w:rPr>
        <w:t xml:space="preserve">Sie </w:t>
      </w:r>
      <w:r>
        <w:rPr>
          <w:rFonts w:cs="Arial"/>
        </w:rPr>
        <w:t>sich bei Fragen an Ihre Personalabteilung.</w:t>
      </w:r>
      <w:r w:rsidR="006239DF">
        <w:rPr>
          <w:rFonts w:cs="Arial"/>
        </w:rPr>
        <w:t xml:space="preserve"> </w:t>
      </w:r>
    </w:p>
    <w:p w14:paraId="1AFE5CD8" w14:textId="69F824D1" w:rsidR="003927D1" w:rsidRPr="00201A3C" w:rsidRDefault="0047585F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 xml:space="preserve">Wie Sie wissen, wurde bei den letzten Tarifverhandlungen zum Tarifvertrag LHO die Einführung einer betrieblichen Altersversorgung (bAV) vereinbart. </w:t>
      </w:r>
      <w:r w:rsidR="00FB081D" w:rsidRPr="00201A3C">
        <w:rPr>
          <w:rFonts w:cs="Arial"/>
        </w:rPr>
        <w:t xml:space="preserve">Die Details wurden in einem separaten bAV-Tarifvertrag geregelt. Die Umsetzung erfolgt </w:t>
      </w:r>
      <w:r w:rsidR="00B80451">
        <w:rPr>
          <w:rFonts w:cs="Arial"/>
        </w:rPr>
        <w:t>ab</w:t>
      </w:r>
      <w:r w:rsidR="00FB081D" w:rsidRPr="00201A3C">
        <w:rPr>
          <w:rFonts w:cs="Arial"/>
        </w:rPr>
        <w:t xml:space="preserve"> Herbst dieses Jahres.</w:t>
      </w:r>
      <w:r w:rsidR="00FB081D">
        <w:rPr>
          <w:rFonts w:cs="Arial"/>
        </w:rPr>
        <w:t xml:space="preserve"> </w:t>
      </w:r>
      <w:r w:rsidR="00B80451">
        <w:rPr>
          <w:rFonts w:cs="Arial"/>
        </w:rPr>
        <w:t>Damit leisten</w:t>
      </w:r>
      <w:r w:rsidR="00F70D55" w:rsidRPr="00201A3C">
        <w:rPr>
          <w:rFonts w:cs="Arial"/>
        </w:rPr>
        <w:t xml:space="preserve"> wir als Arbeitgeber </w:t>
      </w:r>
      <w:r w:rsidR="00B80451">
        <w:rPr>
          <w:rFonts w:cs="Arial"/>
        </w:rPr>
        <w:t>einen zusätzlichen Beitrag für</w:t>
      </w:r>
      <w:r w:rsidR="005A34E8" w:rsidRPr="00201A3C">
        <w:rPr>
          <w:rFonts w:cs="Arial"/>
        </w:rPr>
        <w:t xml:space="preserve"> </w:t>
      </w:r>
      <w:r w:rsidR="00B80451">
        <w:rPr>
          <w:rFonts w:cs="Arial"/>
        </w:rPr>
        <w:t>Ihre Altersv</w:t>
      </w:r>
      <w:r w:rsidR="005A34E8" w:rsidRPr="00201A3C">
        <w:rPr>
          <w:rFonts w:cs="Arial"/>
        </w:rPr>
        <w:t>ersorgung</w:t>
      </w:r>
      <w:r w:rsidR="00B80451">
        <w:rPr>
          <w:rFonts w:cs="Arial"/>
        </w:rPr>
        <w:t xml:space="preserve"> </w:t>
      </w:r>
      <w:r w:rsidR="005A34E8" w:rsidRPr="00201A3C">
        <w:rPr>
          <w:rFonts w:cs="Arial"/>
        </w:rPr>
        <w:t>im Alter.</w:t>
      </w:r>
      <w:r w:rsidR="00F70D55" w:rsidRPr="00201A3C">
        <w:rPr>
          <w:rFonts w:cs="Arial"/>
        </w:rPr>
        <w:t xml:space="preserve"> </w:t>
      </w:r>
    </w:p>
    <w:p w14:paraId="5F682ABD" w14:textId="3164CB17" w:rsidR="00EB74CC" w:rsidRDefault="00DF5FDF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 xml:space="preserve">Die </w:t>
      </w:r>
      <w:r>
        <w:rPr>
          <w:rFonts w:cs="Arial"/>
        </w:rPr>
        <w:t xml:space="preserve">neue </w:t>
      </w:r>
      <w:r w:rsidRPr="007C31FE">
        <w:rPr>
          <w:rFonts w:cs="Arial"/>
          <w:b/>
          <w:bCs/>
          <w:i/>
        </w:rPr>
        <w:t>BusRente Hessen</w:t>
      </w:r>
      <w:r>
        <w:rPr>
          <w:rFonts w:cs="Arial"/>
        </w:rPr>
        <w:t xml:space="preserve"> </w:t>
      </w:r>
      <w:r w:rsidRPr="00201A3C">
        <w:rPr>
          <w:rFonts w:cs="Arial"/>
        </w:rPr>
        <w:t xml:space="preserve">wird </w:t>
      </w:r>
      <w:r w:rsidR="00AE363D">
        <w:rPr>
          <w:rFonts w:cs="Arial"/>
        </w:rPr>
        <w:t xml:space="preserve">nach dem Willen der </w:t>
      </w:r>
      <w:r w:rsidR="00AE363D" w:rsidRPr="00201A3C">
        <w:rPr>
          <w:rFonts w:cs="Arial"/>
        </w:rPr>
        <w:t xml:space="preserve">Tarifvertragsparteien </w:t>
      </w:r>
      <w:r>
        <w:rPr>
          <w:rFonts w:cs="Arial"/>
        </w:rPr>
        <w:t>als</w:t>
      </w:r>
      <w:r w:rsidRPr="00201A3C">
        <w:rPr>
          <w:rFonts w:cs="Arial"/>
        </w:rPr>
        <w:t xml:space="preserve"> Direktversicherung umgesetzt. </w:t>
      </w:r>
      <w:r w:rsidR="00AE363D">
        <w:rPr>
          <w:rFonts w:cs="Arial"/>
        </w:rPr>
        <w:t>N</w:t>
      </w:r>
      <w:bookmarkStart w:id="3" w:name="_Hlk77152794"/>
      <w:bookmarkEnd w:id="2"/>
      <w:r w:rsidR="00EB74CC" w:rsidRPr="00201A3C">
        <w:rPr>
          <w:rFonts w:cs="Arial"/>
        </w:rPr>
        <w:t>ach einem Ausschreibungsprozess</w:t>
      </w:r>
      <w:r w:rsidR="00AE363D">
        <w:rPr>
          <w:rFonts w:cs="Arial"/>
        </w:rPr>
        <w:t xml:space="preserve"> fiel die Entscheidung</w:t>
      </w:r>
      <w:r w:rsidR="00EB74CC" w:rsidRPr="00201A3C">
        <w:rPr>
          <w:rFonts w:cs="Arial"/>
        </w:rPr>
        <w:t xml:space="preserve"> </w:t>
      </w:r>
      <w:r w:rsidR="00AE363D">
        <w:rPr>
          <w:rFonts w:cs="Arial"/>
        </w:rPr>
        <w:t>auf den</w:t>
      </w:r>
      <w:r w:rsidR="00EB74CC" w:rsidRPr="00201A3C">
        <w:rPr>
          <w:rFonts w:cs="Arial"/>
        </w:rPr>
        <w:t xml:space="preserve"> </w:t>
      </w:r>
      <w:r w:rsidR="00AE363D" w:rsidRPr="00201A3C">
        <w:rPr>
          <w:rFonts w:cs="Arial"/>
        </w:rPr>
        <w:t xml:space="preserve">Versorgungsträger </w:t>
      </w:r>
      <w:r w:rsidR="00EB74CC" w:rsidRPr="00201A3C">
        <w:rPr>
          <w:rFonts w:cs="Arial"/>
        </w:rPr>
        <w:t>SIGNAL IDUNA Lebensversicherung a.G.</w:t>
      </w:r>
    </w:p>
    <w:p w14:paraId="5CA5FF85" w14:textId="39B3C9FA" w:rsidR="00FC2B80" w:rsidRDefault="00EB74CC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>Mit der</w:t>
      </w:r>
      <w:r>
        <w:rPr>
          <w:rFonts w:cs="Arial"/>
        </w:rPr>
        <w:t xml:space="preserve"> </w:t>
      </w:r>
      <w:r w:rsidRPr="007C31FE">
        <w:rPr>
          <w:rFonts w:cs="Arial"/>
          <w:b/>
          <w:bCs/>
          <w:i/>
        </w:rPr>
        <w:t>BusRente Hessen</w:t>
      </w:r>
      <w:r w:rsidRPr="00201A3C">
        <w:rPr>
          <w:rFonts w:cs="Arial"/>
        </w:rPr>
        <w:t xml:space="preserve"> </w:t>
      </w:r>
      <w:r>
        <w:rPr>
          <w:rFonts w:cs="Arial"/>
        </w:rPr>
        <w:t>ist</w:t>
      </w:r>
      <w:r w:rsidRPr="00201A3C">
        <w:rPr>
          <w:rFonts w:cs="Arial"/>
        </w:rPr>
        <w:t xml:space="preserve"> eine Lösung</w:t>
      </w:r>
      <w:r>
        <w:rPr>
          <w:rFonts w:cs="Arial"/>
        </w:rPr>
        <w:t xml:space="preserve"> entstanden</w:t>
      </w:r>
      <w:r w:rsidRPr="00201A3C">
        <w:rPr>
          <w:rFonts w:cs="Arial"/>
        </w:rPr>
        <w:t xml:space="preserve">, die hochattraktiv und in der Branche einzigartig ist. </w:t>
      </w:r>
      <w:r w:rsidR="003927D1" w:rsidRPr="00201A3C">
        <w:rPr>
          <w:rFonts w:cs="Arial"/>
        </w:rPr>
        <w:t>Sie besteht aus einem Arbeitgeberbeitrag, der sich in den nächsten Jahren stufenweise erhöht und eine</w:t>
      </w:r>
      <w:r w:rsidR="00D16474" w:rsidRPr="00201A3C">
        <w:rPr>
          <w:rFonts w:cs="Arial"/>
        </w:rPr>
        <w:t>m kleineren</w:t>
      </w:r>
      <w:r w:rsidR="003927D1" w:rsidRPr="00201A3C">
        <w:rPr>
          <w:rFonts w:cs="Arial"/>
        </w:rPr>
        <w:t xml:space="preserve"> </w:t>
      </w:r>
      <w:r w:rsidR="00F13BC9" w:rsidRPr="00201A3C">
        <w:rPr>
          <w:rFonts w:cs="Arial"/>
        </w:rPr>
        <w:t>eigenen Beitrag de</w:t>
      </w:r>
      <w:r w:rsidR="00B80451">
        <w:rPr>
          <w:rFonts w:cs="Arial"/>
        </w:rPr>
        <w:t>r</w:t>
      </w:r>
      <w:r w:rsidR="00F13BC9" w:rsidRPr="00201A3C">
        <w:rPr>
          <w:rFonts w:cs="Arial"/>
        </w:rPr>
        <w:t xml:space="preserve"> </w:t>
      </w:r>
      <w:r w:rsidR="003927D1" w:rsidRPr="00201A3C">
        <w:rPr>
          <w:rFonts w:cs="Arial"/>
        </w:rPr>
        <w:t>Arbeitnehmer</w:t>
      </w:r>
      <w:r w:rsidR="008775D5" w:rsidRPr="00201A3C">
        <w:rPr>
          <w:rFonts w:cs="Arial"/>
        </w:rPr>
        <w:t>, der in die Versorgung einfließ</w:t>
      </w:r>
      <w:r w:rsidR="00FB081D">
        <w:rPr>
          <w:rFonts w:cs="Arial"/>
        </w:rPr>
        <w:t>en soll</w:t>
      </w:r>
      <w:r w:rsidR="006641F1">
        <w:rPr>
          <w:rFonts w:cs="Arial"/>
        </w:rPr>
        <w:t>.</w:t>
      </w:r>
      <w:r w:rsidR="00AE363D">
        <w:rPr>
          <w:rFonts w:cs="Arial"/>
        </w:rPr>
        <w:t xml:space="preserve"> </w:t>
      </w:r>
      <w:bookmarkEnd w:id="3"/>
      <w:r w:rsidR="00B80451">
        <w:rPr>
          <w:rFonts w:cs="Arial"/>
        </w:rPr>
        <w:t>E</w:t>
      </w:r>
      <w:r w:rsidR="0004058E" w:rsidRPr="00201A3C">
        <w:rPr>
          <w:rFonts w:cs="Arial"/>
        </w:rPr>
        <w:t>s</w:t>
      </w:r>
      <w:r w:rsidR="00B80451">
        <w:rPr>
          <w:rFonts w:cs="Arial"/>
        </w:rPr>
        <w:t xml:space="preserve"> ist</w:t>
      </w:r>
      <w:r w:rsidR="0004058E" w:rsidRPr="00201A3C">
        <w:rPr>
          <w:rFonts w:cs="Arial"/>
        </w:rPr>
        <w:t xml:space="preserve"> wichtig, dass Sie sich </w:t>
      </w:r>
      <w:r w:rsidR="00ED2466">
        <w:rPr>
          <w:rFonts w:cs="Arial"/>
        </w:rPr>
        <w:t>mit einem eigenen Beitrag</w:t>
      </w:r>
      <w:r w:rsidR="00ED2466" w:rsidRPr="00201A3C">
        <w:rPr>
          <w:rFonts w:cs="Arial"/>
        </w:rPr>
        <w:t xml:space="preserve"> </w:t>
      </w:r>
      <w:r w:rsidR="0004058E" w:rsidRPr="00201A3C">
        <w:rPr>
          <w:rFonts w:cs="Arial"/>
        </w:rPr>
        <w:t>an Ihrer betrieblichen Versorgung beteiligen</w:t>
      </w:r>
      <w:r w:rsidR="00C8526C">
        <w:rPr>
          <w:rFonts w:cs="Arial"/>
        </w:rPr>
        <w:t xml:space="preserve">. </w:t>
      </w:r>
      <w:r w:rsidR="00F70D55" w:rsidRPr="00201A3C">
        <w:rPr>
          <w:rFonts w:cs="Arial"/>
        </w:rPr>
        <w:t xml:space="preserve">Damit übernehmen Sie </w:t>
      </w:r>
      <w:r w:rsidR="0004058E" w:rsidRPr="00201A3C">
        <w:rPr>
          <w:rFonts w:cs="Arial"/>
        </w:rPr>
        <w:t>Verantwortung</w:t>
      </w:r>
      <w:r w:rsidR="00F70D55" w:rsidRPr="00201A3C">
        <w:rPr>
          <w:rFonts w:cs="Arial"/>
        </w:rPr>
        <w:t xml:space="preserve"> für sich und Ihre Familien</w:t>
      </w:r>
      <w:r w:rsidR="0004058E" w:rsidRPr="00201A3C">
        <w:rPr>
          <w:rFonts w:cs="Arial"/>
        </w:rPr>
        <w:t xml:space="preserve">. </w:t>
      </w:r>
    </w:p>
    <w:p w14:paraId="678C1A22" w14:textId="74F7C4C5" w:rsidR="00F11649" w:rsidRDefault="00616AC5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Hier</w:t>
      </w:r>
      <w:r w:rsidR="0004058E" w:rsidRPr="00201A3C">
        <w:rPr>
          <w:rFonts w:cs="Arial"/>
        </w:rPr>
        <w:t xml:space="preserve">zu wird </w:t>
      </w:r>
      <w:r w:rsidR="00B80451">
        <w:rPr>
          <w:rFonts w:cs="Arial"/>
        </w:rPr>
        <w:t>e</w:t>
      </w:r>
      <w:r w:rsidR="0004058E" w:rsidRPr="00201A3C">
        <w:rPr>
          <w:rFonts w:cs="Arial"/>
        </w:rPr>
        <w:t xml:space="preserve">in Teil Ihres </w:t>
      </w:r>
      <w:r w:rsidR="001913C5">
        <w:rPr>
          <w:rFonts w:cs="Arial"/>
        </w:rPr>
        <w:t xml:space="preserve">monatlichen </w:t>
      </w:r>
      <w:r w:rsidR="001136B0">
        <w:rPr>
          <w:rFonts w:cs="Arial"/>
        </w:rPr>
        <w:t xml:space="preserve">Entgelts </w:t>
      </w:r>
      <w:r w:rsidR="008D16CD" w:rsidRPr="00201A3C">
        <w:rPr>
          <w:rFonts w:cs="Arial"/>
        </w:rPr>
        <w:t xml:space="preserve">in Höhe von </w:t>
      </w:r>
      <w:r w:rsidR="005868F1" w:rsidRPr="00582F59">
        <w:rPr>
          <w:rFonts w:cs="Arial"/>
          <w:b/>
          <w:iCs/>
        </w:rPr>
        <w:t>20,34</w:t>
      </w:r>
      <w:r w:rsidR="008D16CD" w:rsidRPr="00582F59">
        <w:rPr>
          <w:rFonts w:cs="Arial"/>
          <w:b/>
        </w:rPr>
        <w:t xml:space="preserve"> €</w:t>
      </w:r>
      <w:r w:rsidR="008D16CD" w:rsidRPr="00201A3C">
        <w:rPr>
          <w:rFonts w:cs="Arial"/>
        </w:rPr>
        <w:t xml:space="preserve"> </w:t>
      </w:r>
      <w:r w:rsidR="007514CB">
        <w:rPr>
          <w:rFonts w:cs="Arial"/>
        </w:rPr>
        <w:t xml:space="preserve">brutto </w:t>
      </w:r>
      <w:r w:rsidR="00FD2724">
        <w:rPr>
          <w:rFonts w:cs="Arial"/>
        </w:rPr>
        <w:t xml:space="preserve">verwendet, der voll in Ihre </w:t>
      </w:r>
      <w:r w:rsidR="00FD2724" w:rsidRPr="007C31FE">
        <w:rPr>
          <w:rFonts w:cs="Arial"/>
          <w:b/>
          <w:i/>
        </w:rPr>
        <w:t>BusRente</w:t>
      </w:r>
      <w:r w:rsidR="00F11649" w:rsidRPr="007C31FE">
        <w:rPr>
          <w:rFonts w:cs="Arial"/>
          <w:b/>
          <w:i/>
        </w:rPr>
        <w:t xml:space="preserve"> </w:t>
      </w:r>
      <w:r w:rsidR="00FD2724" w:rsidRPr="007C31FE">
        <w:rPr>
          <w:rFonts w:cs="Arial"/>
          <w:b/>
          <w:i/>
        </w:rPr>
        <w:t>Hessen</w:t>
      </w:r>
      <w:r w:rsidR="00FD2724">
        <w:rPr>
          <w:rFonts w:cs="Arial"/>
        </w:rPr>
        <w:t xml:space="preserve"> einfließt. </w:t>
      </w:r>
      <w:r w:rsidR="00F11649">
        <w:rPr>
          <w:rFonts w:cs="Arial"/>
        </w:rPr>
        <w:t>Von diesem Beitr</w:t>
      </w:r>
      <w:r w:rsidR="00B80451">
        <w:rPr>
          <w:rFonts w:cs="Arial"/>
        </w:rPr>
        <w:t>ag</w:t>
      </w:r>
      <w:r w:rsidR="00F11649">
        <w:rPr>
          <w:rFonts w:cs="Arial"/>
        </w:rPr>
        <w:t xml:space="preserve"> kommen normalerweise </w:t>
      </w:r>
      <w:r w:rsidR="00130368">
        <w:rPr>
          <w:rFonts w:cs="Arial"/>
        </w:rPr>
        <w:t xml:space="preserve">sonst </w:t>
      </w:r>
      <w:r w:rsidR="00F11649">
        <w:rPr>
          <w:rFonts w:cs="Arial"/>
        </w:rPr>
        <w:t xml:space="preserve">nur ca. 12 € monatlich auf Ihrem </w:t>
      </w:r>
      <w:r w:rsidR="00045B00">
        <w:rPr>
          <w:rFonts w:cs="Arial"/>
        </w:rPr>
        <w:t>Bankk</w:t>
      </w:r>
      <w:r w:rsidR="00F11649">
        <w:rPr>
          <w:rFonts w:cs="Arial"/>
        </w:rPr>
        <w:t xml:space="preserve">onto an. </w:t>
      </w:r>
    </w:p>
    <w:p w14:paraId="2DE1658C" w14:textId="1B714DFD" w:rsidR="00EB74CC" w:rsidRPr="00201A3C" w:rsidRDefault="009932B7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Z</w:t>
      </w:r>
      <w:r w:rsidR="00EB74CC">
        <w:rPr>
          <w:rFonts w:cs="Arial"/>
        </w:rPr>
        <w:t xml:space="preserve">u Ihrem Beitrag erhalten Sie von Ihrem Arbeitgeber </w:t>
      </w:r>
      <w:r w:rsidR="00FD2724">
        <w:rPr>
          <w:rFonts w:cs="Arial"/>
        </w:rPr>
        <w:t>zusätzlich</w:t>
      </w:r>
      <w:r w:rsidR="00EB74CC">
        <w:rPr>
          <w:rFonts w:cs="Arial"/>
        </w:rPr>
        <w:t xml:space="preserve"> noch einen Z</w:t>
      </w:r>
      <w:r w:rsidR="00EB74CC" w:rsidRPr="00201A3C">
        <w:rPr>
          <w:rFonts w:cs="Arial"/>
        </w:rPr>
        <w:t xml:space="preserve">uschuss von 20 % des umgewandelten Beitrages. </w:t>
      </w:r>
      <w:r w:rsidR="00EB74CC">
        <w:rPr>
          <w:rFonts w:cs="Arial"/>
        </w:rPr>
        <w:t>Dies sind</w:t>
      </w:r>
      <w:r w:rsidR="00EB74CC" w:rsidRPr="00201A3C">
        <w:rPr>
          <w:rFonts w:cs="Arial"/>
        </w:rPr>
        <w:t xml:space="preserve"> 4,07 </w:t>
      </w:r>
      <w:r w:rsidR="00EB74CC">
        <w:rPr>
          <w:rFonts w:cs="Arial"/>
        </w:rPr>
        <w:t>€</w:t>
      </w:r>
      <w:r w:rsidR="00EB74CC" w:rsidRPr="00201A3C">
        <w:rPr>
          <w:rFonts w:cs="Arial"/>
        </w:rPr>
        <w:t xml:space="preserve"> monatlich. </w:t>
      </w:r>
    </w:p>
    <w:p w14:paraId="63FA2095" w14:textId="0FF5F9B3" w:rsidR="00D52E7B" w:rsidRDefault="00FD2724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Damit fließen z</w:t>
      </w:r>
      <w:r w:rsidR="00D52E7B">
        <w:rPr>
          <w:rFonts w:cs="Arial"/>
        </w:rPr>
        <w:t xml:space="preserve">usätzlich zu den Arbeitgeberbeiträgen </w:t>
      </w:r>
      <w:r w:rsidR="00F70D55" w:rsidRPr="00201A3C">
        <w:rPr>
          <w:rFonts w:cs="Arial"/>
        </w:rPr>
        <w:t xml:space="preserve">aus </w:t>
      </w:r>
      <w:r>
        <w:rPr>
          <w:rFonts w:cs="Arial"/>
        </w:rPr>
        <w:t>Ihrer</w:t>
      </w:r>
      <w:r w:rsidR="00F70D55" w:rsidRPr="00201A3C">
        <w:rPr>
          <w:rFonts w:cs="Arial"/>
        </w:rPr>
        <w:t xml:space="preserve"> Gehaltsumwandlung </w:t>
      </w:r>
      <w:r w:rsidR="00FC2B80">
        <w:rPr>
          <w:rFonts w:cs="Arial"/>
        </w:rPr>
        <w:t xml:space="preserve">insgesamt </w:t>
      </w:r>
      <w:r w:rsidR="00F70D55" w:rsidRPr="00201A3C">
        <w:rPr>
          <w:rFonts w:cs="Arial"/>
        </w:rPr>
        <w:t xml:space="preserve">24,41 Euro </w:t>
      </w:r>
      <w:r w:rsidR="00ED2466">
        <w:rPr>
          <w:rFonts w:cs="Arial"/>
        </w:rPr>
        <w:t>(20,34</w:t>
      </w:r>
      <w:r w:rsidR="001136B0">
        <w:rPr>
          <w:rFonts w:cs="Arial"/>
        </w:rPr>
        <w:t xml:space="preserve"> </w:t>
      </w:r>
      <w:r w:rsidR="00ED2466">
        <w:rPr>
          <w:rFonts w:cs="Arial"/>
        </w:rPr>
        <w:t>€ + 4,07</w:t>
      </w:r>
      <w:r w:rsidR="001136B0">
        <w:rPr>
          <w:rFonts w:cs="Arial"/>
        </w:rPr>
        <w:t xml:space="preserve"> </w:t>
      </w:r>
      <w:r w:rsidR="00ED2466">
        <w:rPr>
          <w:rFonts w:cs="Arial"/>
        </w:rPr>
        <w:t xml:space="preserve">€) </w:t>
      </w:r>
      <w:r w:rsidR="00F70D55" w:rsidRPr="00201A3C">
        <w:rPr>
          <w:rFonts w:cs="Arial"/>
        </w:rPr>
        <w:t>monatlich</w:t>
      </w:r>
      <w:r w:rsidR="00EB74CC">
        <w:rPr>
          <w:rFonts w:cs="Arial"/>
        </w:rPr>
        <w:t xml:space="preserve"> </w:t>
      </w:r>
      <w:r w:rsidR="005868F1" w:rsidRPr="00201A3C">
        <w:rPr>
          <w:rFonts w:cs="Arial"/>
        </w:rPr>
        <w:t xml:space="preserve">in </w:t>
      </w:r>
      <w:r w:rsidR="00D303D0" w:rsidRPr="00201A3C">
        <w:rPr>
          <w:rFonts w:cs="Arial"/>
        </w:rPr>
        <w:t>Ihre</w:t>
      </w:r>
      <w:r w:rsidR="005868F1" w:rsidRPr="00201A3C">
        <w:rPr>
          <w:rFonts w:cs="Arial"/>
        </w:rPr>
        <w:t xml:space="preserve"> Altersversorgung</w:t>
      </w:r>
      <w:r w:rsidR="00F70D55" w:rsidRPr="00201A3C">
        <w:rPr>
          <w:rFonts w:cs="Arial"/>
        </w:rPr>
        <w:t>.</w:t>
      </w:r>
      <w:r w:rsidR="005868F1" w:rsidRPr="00201A3C">
        <w:rPr>
          <w:rFonts w:cs="Arial"/>
        </w:rPr>
        <w:t xml:space="preserve"> </w:t>
      </w:r>
    </w:p>
    <w:p w14:paraId="4B7625F2" w14:textId="77777777" w:rsidR="009932B7" w:rsidRDefault="009932B7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Bei den kommenden Tariferhöhungen kann Ihr Beitrag entsprechend angepasst werden.</w:t>
      </w:r>
    </w:p>
    <w:p w14:paraId="02258D4C" w14:textId="4AD70033" w:rsidR="00D52E7B" w:rsidRDefault="00D52E7B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lastRenderedPageBreak/>
        <w:t>Die genauen Beträge</w:t>
      </w:r>
      <w:r w:rsidR="009932B7">
        <w:rPr>
          <w:rFonts w:cs="Arial"/>
        </w:rPr>
        <w:t xml:space="preserve"> von Arbeitgeber und Ihnen</w:t>
      </w:r>
      <w:r>
        <w:rPr>
          <w:rFonts w:cs="Arial"/>
        </w:rPr>
        <w:t xml:space="preserve"> </w:t>
      </w:r>
      <w:r w:rsidR="009932B7">
        <w:rPr>
          <w:rFonts w:cs="Arial"/>
        </w:rPr>
        <w:t>zeigt die</w:t>
      </w:r>
      <w:r>
        <w:rPr>
          <w:rFonts w:cs="Arial"/>
        </w:rPr>
        <w:t xml:space="preserve"> folgende Tabelle</w:t>
      </w:r>
      <w:r w:rsidR="009932B7">
        <w:rPr>
          <w:rFonts w:cs="Arial"/>
        </w:rPr>
        <w:t>:</w:t>
      </w:r>
    </w:p>
    <w:p w14:paraId="7BAAB685" w14:textId="77777777" w:rsidR="00545D5C" w:rsidRDefault="00545D5C" w:rsidP="006641F1">
      <w:pPr>
        <w:spacing w:before="120" w:after="120" w:line="276" w:lineRule="auto"/>
        <w:jc w:val="both"/>
        <w:rPr>
          <w:rFonts w:cs="Arial"/>
        </w:rPr>
      </w:pPr>
    </w:p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77"/>
        <w:gridCol w:w="1666"/>
        <w:gridCol w:w="1666"/>
      </w:tblGrid>
      <w:tr w:rsidR="00EB3ECE" w:rsidRPr="00305012" w14:paraId="1CE09CB5" w14:textId="77777777" w:rsidTr="001F3D2E">
        <w:trPr>
          <w:trHeight w:val="3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D06A" w14:textId="77777777" w:rsidR="00EB3ECE" w:rsidRDefault="00EB3ECE" w:rsidP="006641F1">
            <w:pPr>
              <w:spacing w:line="276" w:lineRule="auto"/>
              <w:jc w:val="both"/>
              <w:rPr>
                <w:rFonts w:eastAsia="Times New Roman" w:cs="Arial"/>
                <w:b/>
                <w:bCs/>
                <w:i/>
                <w:color w:val="000000"/>
                <w:sz w:val="24"/>
                <w:lang w:eastAsia="de-DE"/>
              </w:rPr>
            </w:pPr>
            <w:r w:rsidRPr="001F3D2E">
              <w:rPr>
                <w:rFonts w:eastAsia="Times New Roman" w:cs="Arial"/>
                <w:b/>
                <w:bCs/>
                <w:i/>
                <w:color w:val="000000"/>
                <w:sz w:val="24"/>
                <w:lang w:eastAsia="de-DE"/>
              </w:rPr>
              <w:t>BusRente Hessen</w:t>
            </w:r>
          </w:p>
          <w:p w14:paraId="514521A6" w14:textId="1FB1A98D" w:rsidR="00EB3ECE" w:rsidRPr="00CD25FE" w:rsidRDefault="00EB3ECE" w:rsidP="006641F1">
            <w:pPr>
              <w:spacing w:line="276" w:lineRule="auto"/>
              <w:jc w:val="both"/>
              <w:rPr>
                <w:rFonts w:eastAsia="Times New Roman" w:cs="Arial"/>
                <w:bCs/>
                <w:color w:val="000000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lang w:eastAsia="de-DE"/>
              </w:rPr>
              <w:t>mtl</w:t>
            </w:r>
            <w:r w:rsidRPr="00CD25FE">
              <w:rPr>
                <w:rFonts w:eastAsia="Times New Roman" w:cs="Arial"/>
                <w:bCs/>
                <w:color w:val="000000"/>
                <w:lang w:eastAsia="de-DE"/>
              </w:rPr>
              <w:t>. Zahlungsbeträge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61C5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9F07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AEEE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EB3ECE" w:rsidRPr="00305012" w14:paraId="374E5D16" w14:textId="77777777" w:rsidTr="001F3D2E">
        <w:trPr>
          <w:trHeight w:val="3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8BE" w14:textId="6C893AC0" w:rsidR="00EB3ECE" w:rsidRPr="001F3D2E" w:rsidRDefault="00EB3ECE" w:rsidP="006641F1">
            <w:pPr>
              <w:spacing w:line="276" w:lineRule="auto"/>
              <w:jc w:val="both"/>
              <w:rPr>
                <w:rFonts w:eastAsia="Times New Roman" w:cs="Arial"/>
                <w:b/>
                <w:bCs/>
                <w:i/>
                <w:color w:val="000000"/>
                <w:lang w:eastAsia="de-D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0924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05012">
              <w:rPr>
                <w:rFonts w:eastAsia="Times New Roman" w:cs="Arial"/>
                <w:b/>
                <w:bCs/>
                <w:color w:val="000000"/>
                <w:lang w:eastAsia="de-DE"/>
              </w:rPr>
              <w:t>01.11.2021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7BE6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305012">
              <w:rPr>
                <w:rFonts w:eastAsia="Times New Roman" w:cs="Arial"/>
                <w:color w:val="000000"/>
                <w:lang w:eastAsia="de-DE"/>
              </w:rPr>
              <w:t>01.07.2022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0DE1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305012">
              <w:rPr>
                <w:rFonts w:eastAsia="Times New Roman" w:cs="Arial"/>
                <w:color w:val="000000"/>
                <w:lang w:eastAsia="de-DE"/>
              </w:rPr>
              <w:t>01.10.2023</w:t>
            </w:r>
          </w:p>
        </w:tc>
      </w:tr>
      <w:tr w:rsidR="00EB3ECE" w:rsidRPr="00305012" w14:paraId="79CC1FC1" w14:textId="77777777" w:rsidTr="001F3D2E">
        <w:trPr>
          <w:trHeight w:val="9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E17E" w14:textId="77777777" w:rsidR="00EB3ECE" w:rsidRPr="00305012" w:rsidRDefault="00EB3ECE" w:rsidP="001F3D2E">
            <w:pPr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9BF" w14:textId="77777777" w:rsidR="00EB3ECE" w:rsidRPr="00305012" w:rsidRDefault="00EB3ECE" w:rsidP="001F3D2E">
            <w:pPr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05012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Beginn </w:t>
            </w:r>
            <w:r>
              <w:rPr>
                <w:rFonts w:eastAsia="Times New Roman" w:cs="Arial"/>
                <w:b/>
                <w:bCs/>
                <w:color w:val="000000"/>
                <w:lang w:eastAsia="de-DE"/>
              </w:rPr>
              <w:br/>
            </w:r>
            <w:r w:rsidRPr="00305012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Ihrer </w:t>
            </w:r>
            <w:r>
              <w:rPr>
                <w:rFonts w:eastAsia="Times New Roman" w:cs="Arial"/>
                <w:b/>
                <w:bCs/>
                <w:color w:val="000000"/>
                <w:lang w:eastAsia="de-DE"/>
              </w:rPr>
              <w:br/>
            </w:r>
            <w:r w:rsidRPr="00305012">
              <w:rPr>
                <w:rFonts w:eastAsia="Times New Roman" w:cs="Arial"/>
                <w:b/>
                <w:bCs/>
                <w:color w:val="000000"/>
                <w:lang w:eastAsia="de-DE"/>
              </w:rPr>
              <w:t>Zahlungen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DC8" w14:textId="636E40B0" w:rsidR="00EB3ECE" w:rsidRPr="00305012" w:rsidRDefault="00EB3ECE" w:rsidP="001F3D2E">
            <w:pPr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0BE" w14:textId="17B47DFA" w:rsidR="00EB3ECE" w:rsidRPr="00305012" w:rsidRDefault="00EB3ECE" w:rsidP="001F3D2E">
            <w:pPr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EB3ECE" w:rsidRPr="00305012" w14:paraId="32AB900D" w14:textId="77777777" w:rsidTr="001F3D2E">
        <w:trPr>
          <w:trHeight w:val="32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EB1AF0" w14:textId="77B65E92" w:rsidR="00EB3ECE" w:rsidRPr="00305012" w:rsidRDefault="00EB3ECE" w:rsidP="001F3D2E">
            <w:pPr>
              <w:spacing w:line="276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305012">
              <w:rPr>
                <w:rFonts w:eastAsia="Times New Roman" w:cs="Arial"/>
                <w:b/>
                <w:bCs/>
                <w:lang w:eastAsia="de-DE"/>
              </w:rPr>
              <w:t>Ihr Beitrag ab Nov</w:t>
            </w:r>
            <w:r w:rsidR="001F3D2E">
              <w:rPr>
                <w:rFonts w:eastAsia="Times New Roman" w:cs="Arial"/>
                <w:b/>
                <w:bCs/>
                <w:lang w:eastAsia="de-DE"/>
              </w:rPr>
              <w:t>ember</w:t>
            </w:r>
            <w:r w:rsidRPr="00305012">
              <w:rPr>
                <w:rFonts w:eastAsia="Times New Roman" w:cs="Arial"/>
                <w:b/>
                <w:bCs/>
                <w:lang w:eastAsia="de-DE"/>
              </w:rPr>
              <w:t xml:space="preserve"> 2021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B0A2EC" w14:textId="77777777" w:rsidR="00EB3ECE" w:rsidRPr="00305012" w:rsidRDefault="00EB3ECE" w:rsidP="006D5808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05012">
              <w:rPr>
                <w:rFonts w:eastAsia="Times New Roman" w:cs="Arial"/>
                <w:b/>
                <w:bCs/>
                <w:lang w:eastAsia="de-DE"/>
              </w:rPr>
              <w:t>20,34 €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96702AA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05012">
              <w:rPr>
                <w:rFonts w:eastAsia="Times New Roman" w:cs="Arial"/>
                <w:b/>
                <w:bCs/>
                <w:lang w:eastAsia="de-DE"/>
              </w:rPr>
              <w:t>21,23 €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DDFFCF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  <w:r w:rsidRPr="00305012">
              <w:rPr>
                <w:rFonts w:eastAsia="Times New Roman" w:cs="Arial"/>
                <w:b/>
                <w:bCs/>
                <w:lang w:eastAsia="de-DE"/>
              </w:rPr>
              <w:t>29,49 €</w:t>
            </w:r>
          </w:p>
        </w:tc>
      </w:tr>
      <w:tr w:rsidR="00EB3ECE" w:rsidRPr="00305012" w14:paraId="24726A67" w14:textId="77777777" w:rsidTr="001F3D2E">
        <w:trPr>
          <w:trHeight w:val="337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C21344" w14:textId="77777777" w:rsidR="00EB3ECE" w:rsidRPr="00305012" w:rsidRDefault="00EB3ECE" w:rsidP="001F3D2E">
            <w:pPr>
              <w:spacing w:line="276" w:lineRule="auto"/>
              <w:rPr>
                <w:rFonts w:eastAsia="Times New Roman" w:cs="Arial"/>
                <w:b/>
                <w:bCs/>
                <w:lang w:eastAsia="de-DE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073104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F02949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6CD6A0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lang w:eastAsia="de-DE"/>
              </w:rPr>
            </w:pPr>
          </w:p>
        </w:tc>
      </w:tr>
      <w:tr w:rsidR="00EB3ECE" w:rsidRPr="00305012" w14:paraId="3F31D46B" w14:textId="77777777" w:rsidTr="001F3D2E">
        <w:trPr>
          <w:trHeight w:val="6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33D461" w14:textId="77777777" w:rsidR="001F3D2E" w:rsidRDefault="00EB3ECE" w:rsidP="001F3D2E">
            <w:pPr>
              <w:spacing w:line="276" w:lineRule="auto"/>
              <w:rPr>
                <w:rFonts w:eastAsia="Times New Roman" w:cs="Arial"/>
                <w:lang w:eastAsia="de-DE"/>
              </w:rPr>
            </w:pPr>
            <w:r w:rsidRPr="00305012">
              <w:rPr>
                <w:rFonts w:eastAsia="Times New Roman" w:cs="Arial"/>
                <w:lang w:eastAsia="de-DE"/>
              </w:rPr>
              <w:t xml:space="preserve">Arbeitgeber-Zuschuss zu Ihrem </w:t>
            </w:r>
          </w:p>
          <w:p w14:paraId="5468C6B0" w14:textId="4EFA30ED" w:rsidR="00EB3ECE" w:rsidRPr="00305012" w:rsidRDefault="00EB3ECE" w:rsidP="001F3D2E">
            <w:pPr>
              <w:spacing w:line="276" w:lineRule="auto"/>
              <w:rPr>
                <w:rFonts w:eastAsia="Times New Roman" w:cs="Arial"/>
                <w:lang w:eastAsia="de-DE"/>
              </w:rPr>
            </w:pPr>
            <w:r w:rsidRPr="00305012">
              <w:rPr>
                <w:rFonts w:eastAsia="Times New Roman" w:cs="Arial"/>
                <w:lang w:eastAsia="de-DE"/>
              </w:rPr>
              <w:t>Beitrag (20 %)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FACA3F4" w14:textId="77777777" w:rsidR="00EB3ECE" w:rsidRPr="00305012" w:rsidRDefault="00EB3ECE" w:rsidP="006D5808">
            <w:pPr>
              <w:spacing w:line="276" w:lineRule="auto"/>
              <w:jc w:val="center"/>
              <w:rPr>
                <w:rFonts w:eastAsia="Times New Roman" w:cs="Arial"/>
                <w:lang w:eastAsia="de-DE"/>
              </w:rPr>
            </w:pPr>
            <w:r w:rsidRPr="00305012">
              <w:rPr>
                <w:rFonts w:eastAsia="Times New Roman" w:cs="Arial"/>
                <w:lang w:eastAsia="de-DE"/>
              </w:rPr>
              <w:t>4,07 €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1AAA52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lang w:eastAsia="de-DE"/>
              </w:rPr>
            </w:pPr>
            <w:r w:rsidRPr="00305012">
              <w:rPr>
                <w:rFonts w:eastAsia="Times New Roman" w:cs="Arial"/>
                <w:lang w:eastAsia="de-DE"/>
              </w:rPr>
              <w:t>4,25 €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304EE2C" w14:textId="77777777" w:rsidR="00EB3ECE" w:rsidRPr="00305012" w:rsidRDefault="00EB3ECE">
            <w:pPr>
              <w:spacing w:line="276" w:lineRule="auto"/>
              <w:jc w:val="center"/>
              <w:rPr>
                <w:rFonts w:eastAsia="Times New Roman" w:cs="Arial"/>
                <w:lang w:eastAsia="de-DE"/>
              </w:rPr>
            </w:pPr>
            <w:r w:rsidRPr="00305012">
              <w:rPr>
                <w:rFonts w:eastAsia="Times New Roman" w:cs="Arial"/>
                <w:lang w:eastAsia="de-DE"/>
              </w:rPr>
              <w:t>5,90 €</w:t>
            </w:r>
          </w:p>
        </w:tc>
      </w:tr>
      <w:tr w:rsidR="00EB3ECE" w:rsidRPr="00305012" w14:paraId="40780A5E" w14:textId="77777777" w:rsidTr="001F3D2E">
        <w:trPr>
          <w:trHeight w:val="32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503F00" w14:textId="77777777" w:rsidR="001F3D2E" w:rsidRDefault="00EB3ECE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1F3D2E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Arbeitgeber-Beitrag </w:t>
            </w:r>
          </w:p>
          <w:p w14:paraId="75AEDCD1" w14:textId="025191BA" w:rsidR="00EB3ECE" w:rsidRPr="001F3D2E" w:rsidRDefault="00EB3ECE" w:rsidP="001F3D2E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1F3D2E">
              <w:rPr>
                <w:rFonts w:eastAsia="Times New Roman" w:cs="Arial"/>
                <w:b/>
                <w:bCs/>
                <w:color w:val="000000"/>
                <w:lang w:eastAsia="de-DE"/>
              </w:rPr>
              <w:t>aus Tarifvertrag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3845222" w14:textId="77777777" w:rsidR="00EB3ECE" w:rsidRPr="00545D5C" w:rsidRDefault="00EB3ECE" w:rsidP="006D5808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545D5C">
              <w:rPr>
                <w:rFonts w:eastAsia="Times New Roman" w:cs="Arial"/>
                <w:b/>
                <w:bCs/>
                <w:color w:val="000000"/>
                <w:lang w:eastAsia="de-DE"/>
              </w:rPr>
              <w:t>54,24 €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64FAA5C" w14:textId="77777777" w:rsidR="00EB3ECE" w:rsidRPr="00545D5C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545D5C">
              <w:rPr>
                <w:rFonts w:eastAsia="Times New Roman" w:cs="Arial"/>
                <w:b/>
                <w:bCs/>
                <w:color w:val="000000"/>
                <w:lang w:eastAsia="de-DE"/>
              </w:rPr>
              <w:t>84,92 €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9475440" w14:textId="77777777" w:rsidR="00EB3ECE" w:rsidRPr="00545D5C" w:rsidRDefault="00EB3ECE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545D5C">
              <w:rPr>
                <w:rFonts w:eastAsia="Times New Roman" w:cs="Arial"/>
                <w:b/>
                <w:bCs/>
                <w:color w:val="000000"/>
                <w:lang w:eastAsia="de-DE"/>
              </w:rPr>
              <w:t>117,97 €</w:t>
            </w:r>
          </w:p>
        </w:tc>
      </w:tr>
      <w:tr w:rsidR="00EB3ECE" w:rsidRPr="00305012" w14:paraId="2361F79C" w14:textId="77777777" w:rsidTr="001F3D2E">
        <w:trPr>
          <w:trHeight w:val="337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2A05F" w14:textId="77777777" w:rsidR="00EB3ECE" w:rsidRPr="00305012" w:rsidRDefault="00EB3ECE" w:rsidP="001F3D2E">
            <w:pPr>
              <w:spacing w:line="276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FAE479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1BD018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0B1643" w14:textId="77777777" w:rsidR="00EB3ECE" w:rsidRPr="00305012" w:rsidRDefault="00EB3ECE" w:rsidP="001F3D2E">
            <w:pPr>
              <w:spacing w:line="276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EB3ECE" w:rsidRPr="00CD25FE" w14:paraId="3A9AE425" w14:textId="77777777" w:rsidTr="001F3D2E">
        <w:trPr>
          <w:trHeight w:val="337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4F39FED4" w14:textId="77777777" w:rsidR="001F3D2E" w:rsidRDefault="00EB3ECE" w:rsidP="006D5808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</w:pP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 xml:space="preserve">Gesamtbeitrag </w:t>
            </w:r>
          </w:p>
          <w:p w14:paraId="549FEB45" w14:textId="64A1E9FC" w:rsidR="001F3D2E" w:rsidRDefault="00EB3ECE" w:rsidP="006D5808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</w:pP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Ih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re</w:t>
            </w:r>
            <w:r w:rsidR="001F3D2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r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 xml:space="preserve"> betriebl</w:t>
            </w:r>
            <w:r w:rsidR="001F3D2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ichen</w:t>
            </w: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 xml:space="preserve"> </w:t>
            </w:r>
          </w:p>
          <w:p w14:paraId="0064EB7A" w14:textId="21870A39" w:rsidR="00EB3ECE" w:rsidRPr="00CD25FE" w:rsidRDefault="00EB3ECE" w:rsidP="006D5808">
            <w:pPr>
              <w:spacing w:line="276" w:lineRule="auto"/>
              <w:rPr>
                <w:rFonts w:eastAsia="Times New Roman" w:cs="Arial"/>
                <w:b/>
                <w:bCs/>
                <w:color w:val="000000"/>
                <w:sz w:val="24"/>
                <w:lang w:eastAsia="de-DE"/>
              </w:rPr>
            </w:pP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Altersversorgung</w:t>
            </w:r>
          </w:p>
        </w:tc>
        <w:tc>
          <w:tcPr>
            <w:tcW w:w="1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7CFB725F" w14:textId="77777777" w:rsidR="00EB3ECE" w:rsidRPr="00CD25FE" w:rsidRDefault="00EB3ECE" w:rsidP="001F3D2E">
            <w:pPr>
              <w:ind w:left="113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</w:pP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78,65 €</w:t>
            </w:r>
          </w:p>
        </w:tc>
        <w:tc>
          <w:tcPr>
            <w:tcW w:w="16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555F9F5F" w14:textId="77777777" w:rsidR="00EB3ECE" w:rsidRPr="00CD25FE" w:rsidRDefault="00EB3ECE" w:rsidP="001F3D2E">
            <w:pPr>
              <w:ind w:left="113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</w:pP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110,40 €</w:t>
            </w:r>
          </w:p>
        </w:tc>
        <w:tc>
          <w:tcPr>
            <w:tcW w:w="16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14:paraId="5071D8E7" w14:textId="77777777" w:rsidR="00EB3ECE" w:rsidRPr="00CD25FE" w:rsidRDefault="00EB3ECE" w:rsidP="001F3D2E">
            <w:pPr>
              <w:ind w:left="113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</w:pPr>
            <w:r w:rsidRPr="00CD25FE">
              <w:rPr>
                <w:rFonts w:eastAsia="Times New Roman" w:cs="Arial"/>
                <w:b/>
                <w:bCs/>
                <w:color w:val="000000"/>
                <w:sz w:val="24"/>
                <w:szCs w:val="28"/>
                <w:lang w:eastAsia="de-DE"/>
              </w:rPr>
              <w:t>153,36 €</w:t>
            </w:r>
          </w:p>
        </w:tc>
      </w:tr>
      <w:tr w:rsidR="00EB3ECE" w:rsidRPr="00305012" w14:paraId="7925033C" w14:textId="77777777" w:rsidTr="001F3D2E">
        <w:trPr>
          <w:trHeight w:val="611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32F2B31" w14:textId="77777777" w:rsidR="00EB3ECE" w:rsidRPr="00305012" w:rsidRDefault="00EB3ECE" w:rsidP="006641F1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526B3E3" w14:textId="77777777" w:rsidR="00EB3ECE" w:rsidRPr="00305012" w:rsidRDefault="00EB3ECE" w:rsidP="006641F1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6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8CFE11C" w14:textId="77777777" w:rsidR="00EB3ECE" w:rsidRPr="00305012" w:rsidRDefault="00EB3ECE" w:rsidP="006641F1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6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9FBBA3F" w14:textId="77777777" w:rsidR="00EB3ECE" w:rsidRPr="00305012" w:rsidRDefault="00EB3ECE" w:rsidP="006641F1">
            <w:pPr>
              <w:spacing w:line="276" w:lineRule="auto"/>
              <w:jc w:val="both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</w:p>
        </w:tc>
      </w:tr>
    </w:tbl>
    <w:p w14:paraId="08EAECBD" w14:textId="04938CC7" w:rsidR="001F3D2E" w:rsidRDefault="00C6409A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Für Teilzeitbeschäftigte gelten die Beträge anteilig.</w:t>
      </w:r>
      <w:r w:rsidR="00582F59">
        <w:rPr>
          <w:rFonts w:cs="Arial"/>
        </w:rPr>
        <w:t xml:space="preserve"> </w:t>
      </w:r>
    </w:p>
    <w:p w14:paraId="7390348C" w14:textId="4A3B902C" w:rsidR="001136B0" w:rsidRPr="001F3D2E" w:rsidRDefault="009932B7" w:rsidP="006641F1">
      <w:pPr>
        <w:spacing w:before="120" w:after="120" w:line="276" w:lineRule="auto"/>
        <w:jc w:val="both"/>
        <w:rPr>
          <w:rFonts w:cs="Arial"/>
          <w:iCs/>
        </w:rPr>
      </w:pPr>
      <w:r w:rsidRPr="001F3D2E">
        <w:rPr>
          <w:rFonts w:cs="Arial"/>
          <w:iCs/>
        </w:rPr>
        <w:t xml:space="preserve">Eine </w:t>
      </w:r>
      <w:r w:rsidR="001E7ADB" w:rsidRPr="001F3D2E">
        <w:rPr>
          <w:rFonts w:cs="Arial"/>
          <w:iCs/>
        </w:rPr>
        <w:t>Beispiel-</w:t>
      </w:r>
      <w:r w:rsidR="00582F59" w:rsidRPr="001F3D2E">
        <w:rPr>
          <w:rFonts w:cs="Arial"/>
          <w:iCs/>
        </w:rPr>
        <w:t xml:space="preserve">Berechnung der zukünftigen </w:t>
      </w:r>
      <w:r w:rsidR="001E7ADB" w:rsidRPr="001F3D2E">
        <w:rPr>
          <w:rFonts w:cs="Arial"/>
          <w:iCs/>
        </w:rPr>
        <w:t xml:space="preserve">Leistung </w:t>
      </w:r>
      <w:r w:rsidR="00582F59" w:rsidRPr="001F3D2E">
        <w:rPr>
          <w:rFonts w:cs="Arial"/>
          <w:iCs/>
        </w:rPr>
        <w:t>aus Arbeitgeber</w:t>
      </w:r>
      <w:r w:rsidRPr="001F3D2E">
        <w:rPr>
          <w:rFonts w:cs="Arial"/>
          <w:iCs/>
        </w:rPr>
        <w:t xml:space="preserve">beiträgen </w:t>
      </w:r>
      <w:r w:rsidR="00582F59" w:rsidRPr="001F3D2E">
        <w:rPr>
          <w:rFonts w:cs="Arial"/>
          <w:iCs/>
        </w:rPr>
        <w:t xml:space="preserve">und Ihren Zahlungen </w:t>
      </w:r>
      <w:r w:rsidRPr="001F3D2E">
        <w:rPr>
          <w:rFonts w:cs="Arial"/>
          <w:iCs/>
        </w:rPr>
        <w:t xml:space="preserve">können Sie </w:t>
      </w:r>
      <w:r w:rsidR="00582F59" w:rsidRPr="001F3D2E">
        <w:rPr>
          <w:rFonts w:cs="Arial"/>
          <w:iCs/>
        </w:rPr>
        <w:t>de</w:t>
      </w:r>
      <w:r w:rsidR="001E7ADB" w:rsidRPr="001F3D2E">
        <w:rPr>
          <w:rFonts w:cs="Arial"/>
          <w:iCs/>
        </w:rPr>
        <w:t xml:space="preserve">r Tabelle </w:t>
      </w:r>
      <w:r w:rsidR="00582F59" w:rsidRPr="001F3D2E">
        <w:rPr>
          <w:rFonts w:cs="Arial"/>
          <w:iCs/>
        </w:rPr>
        <w:t>in der Anlage</w:t>
      </w:r>
      <w:r w:rsidRPr="001F3D2E">
        <w:rPr>
          <w:rFonts w:cs="Arial"/>
          <w:iCs/>
        </w:rPr>
        <w:t xml:space="preserve"> entnehmen</w:t>
      </w:r>
      <w:r w:rsidR="00582F59" w:rsidRPr="001F3D2E">
        <w:rPr>
          <w:rFonts w:cs="Arial"/>
          <w:iCs/>
        </w:rPr>
        <w:t>.</w:t>
      </w:r>
    </w:p>
    <w:p w14:paraId="2F7008BB" w14:textId="77777777" w:rsidR="00EB74CC" w:rsidRDefault="00EB74CC" w:rsidP="006641F1">
      <w:pPr>
        <w:spacing w:before="120" w:after="120" w:line="276" w:lineRule="auto"/>
        <w:jc w:val="both"/>
        <w:rPr>
          <w:rFonts w:cs="Arial"/>
        </w:rPr>
      </w:pPr>
    </w:p>
    <w:p w14:paraId="3C2D676A" w14:textId="77777777" w:rsidR="006641F1" w:rsidRDefault="0047585F" w:rsidP="006641F1">
      <w:pPr>
        <w:spacing w:before="120" w:after="120" w:line="276" w:lineRule="auto"/>
        <w:jc w:val="both"/>
        <w:rPr>
          <w:rFonts w:cs="Arial"/>
          <w:b/>
          <w:bCs/>
        </w:rPr>
      </w:pPr>
      <w:r w:rsidRPr="00201A3C">
        <w:rPr>
          <w:rFonts w:cs="Arial"/>
          <w:b/>
          <w:bCs/>
        </w:rPr>
        <w:t>Was müssen Sie jetzt tun?</w:t>
      </w:r>
    </w:p>
    <w:p w14:paraId="5545FCF6" w14:textId="33ACF4A7" w:rsidR="006641F1" w:rsidRPr="00FD2724" w:rsidRDefault="006641F1" w:rsidP="006641F1">
      <w:pPr>
        <w:spacing w:before="120" w:after="120" w:line="276" w:lineRule="auto"/>
        <w:jc w:val="both"/>
        <w:rPr>
          <w:rFonts w:cs="Arial"/>
          <w:bCs/>
        </w:rPr>
      </w:pPr>
      <w:r w:rsidRPr="00FD2724">
        <w:rPr>
          <w:rFonts w:cs="Arial"/>
          <w:bCs/>
        </w:rPr>
        <w:t>Um ihre persönliche Altersversorgung zu stärken, müssen Sie nichts weiter tun.</w:t>
      </w:r>
    </w:p>
    <w:p w14:paraId="03106BDE" w14:textId="443BB42C" w:rsidR="0047585F" w:rsidRPr="006641F1" w:rsidRDefault="00F14BC4" w:rsidP="006641F1">
      <w:pPr>
        <w:spacing w:before="120" w:after="120" w:line="276" w:lineRule="auto"/>
        <w:jc w:val="both"/>
        <w:rPr>
          <w:rFonts w:cs="Arial"/>
          <w:b/>
          <w:bCs/>
        </w:rPr>
      </w:pPr>
      <w:r w:rsidRPr="00201A3C">
        <w:rPr>
          <w:rFonts w:cs="Arial"/>
        </w:rPr>
        <w:t xml:space="preserve">Hören wir nichts von Ihnen, </w:t>
      </w:r>
      <w:r w:rsidR="0047585F" w:rsidRPr="00201A3C">
        <w:rPr>
          <w:rFonts w:cs="Arial"/>
        </w:rPr>
        <w:t xml:space="preserve">gilt das Angebot als angenommen. Wir </w:t>
      </w:r>
      <w:r w:rsidRPr="00201A3C">
        <w:rPr>
          <w:rFonts w:cs="Arial"/>
        </w:rPr>
        <w:t xml:space="preserve">behalten </w:t>
      </w:r>
      <w:r w:rsidR="0047585F" w:rsidRPr="00201A3C">
        <w:rPr>
          <w:rFonts w:cs="Arial"/>
        </w:rPr>
        <w:t xml:space="preserve">dann </w:t>
      </w:r>
      <w:r w:rsidRPr="00582F59">
        <w:rPr>
          <w:rFonts w:cs="Arial"/>
          <w:iCs/>
          <w:u w:val="single"/>
        </w:rPr>
        <w:t xml:space="preserve">ab der </w:t>
      </w:r>
      <w:r w:rsidR="00ED2466" w:rsidRPr="00582F59">
        <w:rPr>
          <w:rFonts w:cs="Arial"/>
          <w:iCs/>
          <w:u w:val="single"/>
        </w:rPr>
        <w:t xml:space="preserve">Gehaltsabrechnung </w:t>
      </w:r>
      <w:r w:rsidRPr="00582F59">
        <w:rPr>
          <w:rFonts w:cs="Arial"/>
          <w:iCs/>
          <w:u w:val="single"/>
        </w:rPr>
        <w:t>November</w:t>
      </w:r>
      <w:r w:rsidRPr="00201A3C">
        <w:rPr>
          <w:rFonts w:cs="Arial"/>
        </w:rPr>
        <w:t xml:space="preserve"> </w:t>
      </w:r>
      <w:r w:rsidR="00ED2466">
        <w:rPr>
          <w:rFonts w:cs="Arial"/>
        </w:rPr>
        <w:t>Ihren</w:t>
      </w:r>
      <w:r w:rsidRPr="00201A3C">
        <w:rPr>
          <w:rFonts w:cs="Arial"/>
        </w:rPr>
        <w:t xml:space="preserve"> Beitrag von Ihrem Gehalt ein und </w:t>
      </w:r>
      <w:r w:rsidR="00957E66" w:rsidRPr="00201A3C">
        <w:rPr>
          <w:rFonts w:cs="Arial"/>
        </w:rPr>
        <w:t>zahlen</w:t>
      </w:r>
      <w:r w:rsidRPr="00201A3C">
        <w:rPr>
          <w:rFonts w:cs="Arial"/>
        </w:rPr>
        <w:t xml:space="preserve"> i</w:t>
      </w:r>
      <w:r w:rsidR="0004058E" w:rsidRPr="00201A3C">
        <w:rPr>
          <w:rFonts w:cs="Arial"/>
        </w:rPr>
        <w:t>h</w:t>
      </w:r>
      <w:r w:rsidRPr="00201A3C">
        <w:rPr>
          <w:rFonts w:cs="Arial"/>
        </w:rPr>
        <w:t xml:space="preserve">n </w:t>
      </w:r>
      <w:r w:rsidR="0004058E" w:rsidRPr="00201A3C">
        <w:rPr>
          <w:rFonts w:cs="Arial"/>
        </w:rPr>
        <w:t xml:space="preserve">auf </w:t>
      </w:r>
      <w:r w:rsidR="00BE5CB1" w:rsidRPr="00201A3C">
        <w:rPr>
          <w:rFonts w:cs="Arial"/>
        </w:rPr>
        <w:t>das</w:t>
      </w:r>
      <w:r w:rsidR="0004058E" w:rsidRPr="00201A3C">
        <w:rPr>
          <w:rFonts w:cs="Arial"/>
        </w:rPr>
        <w:t xml:space="preserve"> Versorgungskonto </w:t>
      </w:r>
      <w:r w:rsidR="00BE5CB1" w:rsidRPr="00201A3C">
        <w:rPr>
          <w:rFonts w:cs="Arial"/>
        </w:rPr>
        <w:t>Ihrer</w:t>
      </w:r>
      <w:r w:rsidRPr="00201A3C">
        <w:rPr>
          <w:rFonts w:cs="Arial"/>
        </w:rPr>
        <w:t xml:space="preserve"> </w:t>
      </w:r>
      <w:r w:rsidRPr="001F3D2E">
        <w:rPr>
          <w:rFonts w:cs="Arial"/>
          <w:b/>
          <w:i/>
        </w:rPr>
        <w:t>Bus</w:t>
      </w:r>
      <w:r w:rsidR="00D97340" w:rsidRPr="001F3D2E">
        <w:rPr>
          <w:rFonts w:cs="Arial"/>
          <w:b/>
          <w:i/>
        </w:rPr>
        <w:t>R</w:t>
      </w:r>
      <w:r w:rsidRPr="001F3D2E">
        <w:rPr>
          <w:rFonts w:cs="Arial"/>
          <w:b/>
          <w:i/>
        </w:rPr>
        <w:t>ente Hessen</w:t>
      </w:r>
      <w:r w:rsidRPr="00201A3C">
        <w:rPr>
          <w:rFonts w:cs="Arial"/>
        </w:rPr>
        <w:t xml:space="preserve"> </w:t>
      </w:r>
      <w:r w:rsidR="00957E66" w:rsidRPr="00201A3C">
        <w:rPr>
          <w:rFonts w:cs="Arial"/>
        </w:rPr>
        <w:t>ein</w:t>
      </w:r>
      <w:r w:rsidRPr="00201A3C">
        <w:rPr>
          <w:rFonts w:cs="Arial"/>
        </w:rPr>
        <w:t>.</w:t>
      </w:r>
      <w:r w:rsidR="005A7EE9" w:rsidRPr="00201A3C">
        <w:rPr>
          <w:rFonts w:cs="Arial"/>
        </w:rPr>
        <w:t xml:space="preserve"> </w:t>
      </w:r>
    </w:p>
    <w:p w14:paraId="4FC7092A" w14:textId="58F1A8EB" w:rsidR="006641F1" w:rsidRPr="00201A3C" w:rsidRDefault="006641F1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 xml:space="preserve">Wenn </w:t>
      </w:r>
      <w:r>
        <w:rPr>
          <w:rFonts w:cs="Arial"/>
        </w:rPr>
        <w:t>S</w:t>
      </w:r>
      <w:r w:rsidRPr="00201A3C">
        <w:rPr>
          <w:rFonts w:cs="Arial"/>
        </w:rPr>
        <w:t>ie sich</w:t>
      </w:r>
      <w:r>
        <w:rPr>
          <w:rFonts w:cs="Arial"/>
        </w:rPr>
        <w:t xml:space="preserve"> doch</w:t>
      </w:r>
      <w:r w:rsidRPr="00201A3C">
        <w:rPr>
          <w:rFonts w:cs="Arial"/>
        </w:rPr>
        <w:t xml:space="preserve"> gegen Ihre Teilnahme an der Entgeltumwandlung entscheiden, müssen Sie innerhalb </w:t>
      </w:r>
      <w:r w:rsidRPr="00582F59">
        <w:rPr>
          <w:rFonts w:cs="Arial"/>
          <w:b/>
        </w:rPr>
        <w:t xml:space="preserve">eines </w:t>
      </w:r>
      <w:r w:rsidRPr="00582F59">
        <w:rPr>
          <w:rFonts w:cs="Arial"/>
          <w:b/>
          <w:iCs/>
        </w:rPr>
        <w:t>Monats</w:t>
      </w:r>
      <w:r w:rsidRPr="00201A3C">
        <w:rPr>
          <w:rFonts w:cs="Arial"/>
        </w:rPr>
        <w:t xml:space="preserve"> </w:t>
      </w:r>
      <w:r w:rsidRPr="00582F59">
        <w:rPr>
          <w:rFonts w:cs="Arial"/>
          <w:b/>
          <w:iCs/>
        </w:rPr>
        <w:t>nach Zugang dieser Information</w:t>
      </w:r>
      <w:r w:rsidRPr="00201A3C">
        <w:rPr>
          <w:rFonts w:cs="Arial"/>
        </w:rPr>
        <w:t xml:space="preserve"> widersprechen. Der Widerspruch ist </w:t>
      </w:r>
      <w:r>
        <w:rPr>
          <w:rFonts w:cs="Arial"/>
        </w:rPr>
        <w:t>unbedingt</w:t>
      </w:r>
      <w:r w:rsidRPr="00201A3C">
        <w:rPr>
          <w:rFonts w:cs="Arial"/>
        </w:rPr>
        <w:t xml:space="preserve"> </w:t>
      </w:r>
      <w:r w:rsidRPr="00582F59">
        <w:rPr>
          <w:rFonts w:cs="Arial"/>
          <w:u w:val="single"/>
        </w:rPr>
        <w:t>schriftlich</w:t>
      </w:r>
      <w:r w:rsidRPr="00201A3C">
        <w:rPr>
          <w:rFonts w:cs="Arial"/>
        </w:rPr>
        <w:t xml:space="preserve"> </w:t>
      </w:r>
      <w:r w:rsidR="00CD25FE">
        <w:rPr>
          <w:rFonts w:cs="Arial"/>
        </w:rPr>
        <w:t xml:space="preserve">– </w:t>
      </w:r>
      <w:r w:rsidRPr="00201A3C">
        <w:rPr>
          <w:rFonts w:cs="Arial"/>
        </w:rPr>
        <w:t xml:space="preserve">ohne Angabe von Gründen </w:t>
      </w:r>
      <w:r w:rsidR="00CD25FE">
        <w:rPr>
          <w:rFonts w:cs="Arial"/>
        </w:rPr>
        <w:t xml:space="preserve">– </w:t>
      </w:r>
      <w:r w:rsidRPr="00201A3C">
        <w:rPr>
          <w:rFonts w:cs="Arial"/>
        </w:rPr>
        <w:t xml:space="preserve">an </w:t>
      </w:r>
      <w:r w:rsidRPr="00582F59">
        <w:rPr>
          <w:rFonts w:cs="Arial"/>
          <w:iCs/>
        </w:rPr>
        <w:t>die Personalabteilung</w:t>
      </w:r>
      <w:r w:rsidRPr="00201A3C">
        <w:rPr>
          <w:rFonts w:cs="Arial"/>
        </w:rPr>
        <w:t xml:space="preserve"> zu richten.</w:t>
      </w:r>
    </w:p>
    <w:p w14:paraId="730BC9D2" w14:textId="3F78CAA5" w:rsidR="005868F1" w:rsidRPr="00201A3C" w:rsidRDefault="00957E66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>Ihre</w:t>
      </w:r>
      <w:r w:rsidR="0047585F" w:rsidRPr="00201A3C">
        <w:rPr>
          <w:rFonts w:cs="Arial"/>
        </w:rPr>
        <w:t xml:space="preserve"> Entgeltumwandlung kann </w:t>
      </w:r>
      <w:r w:rsidR="00BE5CB1" w:rsidRPr="00201A3C">
        <w:rPr>
          <w:rFonts w:cs="Arial"/>
        </w:rPr>
        <w:t xml:space="preserve">übrigens </w:t>
      </w:r>
      <w:r w:rsidR="0047585F" w:rsidRPr="00201A3C">
        <w:rPr>
          <w:rFonts w:cs="Arial"/>
        </w:rPr>
        <w:t>jederzeit mit einer Frist von höchstens einem Monat beendet werden.</w:t>
      </w:r>
    </w:p>
    <w:p w14:paraId="1627A044" w14:textId="0ED4F94F" w:rsidR="00D93E1D" w:rsidRPr="00201A3C" w:rsidRDefault="00D93E1D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>Wir wünschen Ihnen eine schöne Sommerzeit und einen hoffentlich erholsamen Urlaub!</w:t>
      </w:r>
    </w:p>
    <w:p w14:paraId="093C1C3C" w14:textId="77777777" w:rsidR="00D93E1D" w:rsidRPr="00201A3C" w:rsidRDefault="00D93E1D" w:rsidP="006641F1">
      <w:pPr>
        <w:spacing w:before="120" w:after="120" w:line="276" w:lineRule="auto"/>
        <w:jc w:val="both"/>
        <w:rPr>
          <w:rFonts w:cs="Arial"/>
        </w:rPr>
      </w:pPr>
    </w:p>
    <w:p w14:paraId="126EAD63" w14:textId="07BE58A8" w:rsidR="001E7ADB" w:rsidRDefault="00D93E1D" w:rsidP="006641F1">
      <w:pPr>
        <w:spacing w:before="120" w:after="120" w:line="276" w:lineRule="auto"/>
        <w:jc w:val="both"/>
        <w:rPr>
          <w:rFonts w:cs="Arial"/>
        </w:rPr>
      </w:pPr>
      <w:r w:rsidRPr="00201A3C">
        <w:rPr>
          <w:rFonts w:cs="Arial"/>
        </w:rPr>
        <w:t>Viele Grüße</w:t>
      </w:r>
    </w:p>
    <w:p w14:paraId="548A0E11" w14:textId="4F4A9557" w:rsidR="00D45083" w:rsidRDefault="00D45083" w:rsidP="006641F1">
      <w:pPr>
        <w:spacing w:before="120" w:after="120" w:line="276" w:lineRule="auto"/>
        <w:jc w:val="both"/>
        <w:rPr>
          <w:rFonts w:cs="Arial"/>
        </w:rPr>
      </w:pPr>
    </w:p>
    <w:p w14:paraId="7B500B69" w14:textId="77777777" w:rsidR="00D45083" w:rsidRPr="00201A3C" w:rsidRDefault="00D45083" w:rsidP="006641F1">
      <w:pPr>
        <w:spacing w:before="120" w:after="120" w:line="276" w:lineRule="auto"/>
        <w:jc w:val="both"/>
        <w:rPr>
          <w:rFonts w:cs="Arial"/>
        </w:rPr>
      </w:pPr>
    </w:p>
    <w:p w14:paraId="6807AC38" w14:textId="2C5BE3E6" w:rsidR="00D93E1D" w:rsidRPr="00201A3C" w:rsidRDefault="00D60CDB" w:rsidP="006641F1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......................................</w:t>
      </w:r>
    </w:p>
    <w:p w14:paraId="48B04454" w14:textId="3E01F949" w:rsidR="00A954FA" w:rsidRDefault="00A954FA" w:rsidP="006641F1">
      <w:pPr>
        <w:spacing w:line="276" w:lineRule="auto"/>
        <w:jc w:val="both"/>
        <w:rPr>
          <w:rFonts w:cs="Arial"/>
        </w:rPr>
      </w:pPr>
    </w:p>
    <w:sectPr w:rsidR="00A954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7E40" w14:textId="77777777" w:rsidR="007857B6" w:rsidRDefault="007857B6" w:rsidP="005F5D8A">
      <w:r>
        <w:separator/>
      </w:r>
    </w:p>
  </w:endnote>
  <w:endnote w:type="continuationSeparator" w:id="0">
    <w:p w14:paraId="275B686A" w14:textId="77777777" w:rsidR="007857B6" w:rsidRDefault="007857B6" w:rsidP="005F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93A8" w14:textId="77777777" w:rsidR="007857B6" w:rsidRDefault="007857B6" w:rsidP="005F5D8A">
      <w:r>
        <w:separator/>
      </w:r>
    </w:p>
  </w:footnote>
  <w:footnote w:type="continuationSeparator" w:id="0">
    <w:p w14:paraId="7A24F9D6" w14:textId="77777777" w:rsidR="007857B6" w:rsidRDefault="007857B6" w:rsidP="005F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743BBA"/>
    <w:multiLevelType w:val="hybridMultilevel"/>
    <w:tmpl w:val="0E66A5BC"/>
    <w:lvl w:ilvl="0" w:tplc="6CCAE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41F18"/>
    <w:multiLevelType w:val="hybridMultilevel"/>
    <w:tmpl w:val="30C662A4"/>
    <w:lvl w:ilvl="0" w:tplc="8B3E56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5E"/>
    <w:rsid w:val="00030BEE"/>
    <w:rsid w:val="0004058E"/>
    <w:rsid w:val="00045B00"/>
    <w:rsid w:val="00056B07"/>
    <w:rsid w:val="00067739"/>
    <w:rsid w:val="0008369A"/>
    <w:rsid w:val="000A2BBC"/>
    <w:rsid w:val="000B0AD2"/>
    <w:rsid w:val="000C311D"/>
    <w:rsid w:val="000C6A26"/>
    <w:rsid w:val="001136B0"/>
    <w:rsid w:val="0012704C"/>
    <w:rsid w:val="00130368"/>
    <w:rsid w:val="001323DE"/>
    <w:rsid w:val="00183D0B"/>
    <w:rsid w:val="00184D3C"/>
    <w:rsid w:val="001913C5"/>
    <w:rsid w:val="0019695D"/>
    <w:rsid w:val="001D7045"/>
    <w:rsid w:val="001D7993"/>
    <w:rsid w:val="001E7ADB"/>
    <w:rsid w:val="001F3D2E"/>
    <w:rsid w:val="00201A3C"/>
    <w:rsid w:val="002547E8"/>
    <w:rsid w:val="002964BC"/>
    <w:rsid w:val="002B0D8A"/>
    <w:rsid w:val="002C5784"/>
    <w:rsid w:val="002F4E6D"/>
    <w:rsid w:val="002F6DDD"/>
    <w:rsid w:val="0030776F"/>
    <w:rsid w:val="003800F7"/>
    <w:rsid w:val="003927D1"/>
    <w:rsid w:val="003A0687"/>
    <w:rsid w:val="003C740D"/>
    <w:rsid w:val="003E7E1E"/>
    <w:rsid w:val="00413C6E"/>
    <w:rsid w:val="00446B78"/>
    <w:rsid w:val="0047585F"/>
    <w:rsid w:val="00476AE4"/>
    <w:rsid w:val="004E68CA"/>
    <w:rsid w:val="005060B8"/>
    <w:rsid w:val="00545D5C"/>
    <w:rsid w:val="00582F59"/>
    <w:rsid w:val="005868F1"/>
    <w:rsid w:val="005A34E8"/>
    <w:rsid w:val="005A7EE9"/>
    <w:rsid w:val="005F5D8A"/>
    <w:rsid w:val="0060486E"/>
    <w:rsid w:val="00616AC5"/>
    <w:rsid w:val="006239DF"/>
    <w:rsid w:val="006243CB"/>
    <w:rsid w:val="00634E43"/>
    <w:rsid w:val="00644204"/>
    <w:rsid w:val="006452FE"/>
    <w:rsid w:val="00662062"/>
    <w:rsid w:val="006641F1"/>
    <w:rsid w:val="00664BFE"/>
    <w:rsid w:val="00677509"/>
    <w:rsid w:val="006A3A2F"/>
    <w:rsid w:val="006C36E6"/>
    <w:rsid w:val="006D5808"/>
    <w:rsid w:val="006E556A"/>
    <w:rsid w:val="007514CB"/>
    <w:rsid w:val="00782F26"/>
    <w:rsid w:val="007857B6"/>
    <w:rsid w:val="007B014E"/>
    <w:rsid w:val="007C31FE"/>
    <w:rsid w:val="007D2768"/>
    <w:rsid w:val="007E4636"/>
    <w:rsid w:val="00814546"/>
    <w:rsid w:val="0085590F"/>
    <w:rsid w:val="008775D5"/>
    <w:rsid w:val="008904C2"/>
    <w:rsid w:val="008C0C0A"/>
    <w:rsid w:val="008D16CD"/>
    <w:rsid w:val="008E2A61"/>
    <w:rsid w:val="008F6482"/>
    <w:rsid w:val="008F6EC6"/>
    <w:rsid w:val="0090105E"/>
    <w:rsid w:val="00957E66"/>
    <w:rsid w:val="009657D0"/>
    <w:rsid w:val="00972BFB"/>
    <w:rsid w:val="00975AAB"/>
    <w:rsid w:val="00984029"/>
    <w:rsid w:val="009841A0"/>
    <w:rsid w:val="009932B7"/>
    <w:rsid w:val="009A45EE"/>
    <w:rsid w:val="009A58A8"/>
    <w:rsid w:val="009E4A60"/>
    <w:rsid w:val="009F02D5"/>
    <w:rsid w:val="00A108CF"/>
    <w:rsid w:val="00A3642C"/>
    <w:rsid w:val="00A50942"/>
    <w:rsid w:val="00A726B8"/>
    <w:rsid w:val="00A954FA"/>
    <w:rsid w:val="00AA5797"/>
    <w:rsid w:val="00AA6EB3"/>
    <w:rsid w:val="00AC6A45"/>
    <w:rsid w:val="00AE1299"/>
    <w:rsid w:val="00AE363D"/>
    <w:rsid w:val="00B23CE7"/>
    <w:rsid w:val="00B40726"/>
    <w:rsid w:val="00B42989"/>
    <w:rsid w:val="00B51203"/>
    <w:rsid w:val="00B803B7"/>
    <w:rsid w:val="00B80451"/>
    <w:rsid w:val="00BE5CB1"/>
    <w:rsid w:val="00C110B0"/>
    <w:rsid w:val="00C47E50"/>
    <w:rsid w:val="00C57A7C"/>
    <w:rsid w:val="00C6409A"/>
    <w:rsid w:val="00C745C2"/>
    <w:rsid w:val="00C8526C"/>
    <w:rsid w:val="00CA2ED6"/>
    <w:rsid w:val="00CD25FE"/>
    <w:rsid w:val="00CF668B"/>
    <w:rsid w:val="00D01411"/>
    <w:rsid w:val="00D16474"/>
    <w:rsid w:val="00D303D0"/>
    <w:rsid w:val="00D45083"/>
    <w:rsid w:val="00D46E59"/>
    <w:rsid w:val="00D52E7B"/>
    <w:rsid w:val="00D60CDB"/>
    <w:rsid w:val="00D63B82"/>
    <w:rsid w:val="00D84EB8"/>
    <w:rsid w:val="00D93E1D"/>
    <w:rsid w:val="00D97340"/>
    <w:rsid w:val="00DB644D"/>
    <w:rsid w:val="00DC32DE"/>
    <w:rsid w:val="00DE2457"/>
    <w:rsid w:val="00DF5FDF"/>
    <w:rsid w:val="00DF6B4F"/>
    <w:rsid w:val="00E168D9"/>
    <w:rsid w:val="00E30DD9"/>
    <w:rsid w:val="00EB0D0B"/>
    <w:rsid w:val="00EB19CF"/>
    <w:rsid w:val="00EB3ECE"/>
    <w:rsid w:val="00EB74CC"/>
    <w:rsid w:val="00ED2466"/>
    <w:rsid w:val="00F01486"/>
    <w:rsid w:val="00F11649"/>
    <w:rsid w:val="00F13BC9"/>
    <w:rsid w:val="00F14BC4"/>
    <w:rsid w:val="00F47707"/>
    <w:rsid w:val="00F54F4B"/>
    <w:rsid w:val="00F70314"/>
    <w:rsid w:val="00F70D55"/>
    <w:rsid w:val="00F8195C"/>
    <w:rsid w:val="00FA5284"/>
    <w:rsid w:val="00FB081D"/>
    <w:rsid w:val="00FB669F"/>
    <w:rsid w:val="00FC2B80"/>
    <w:rsid w:val="00FC688A"/>
    <w:rsid w:val="00FD272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065CF1"/>
  <w15:docId w15:val="{0C320229-DFE3-42ED-AAA7-1ABF045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90105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9695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C6A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A2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A2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A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A26"/>
    <w:rPr>
      <w:b/>
      <w:bCs/>
    </w:rPr>
  </w:style>
  <w:style w:type="table" w:styleId="Tabellenraster">
    <w:name w:val="Table Grid"/>
    <w:basedOn w:val="NormaleTabelle"/>
    <w:rsid w:val="00D01411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7514CB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C66EDA423D04885F8F404FFE86FEB" ma:contentTypeVersion="11" ma:contentTypeDescription="Ein neues Dokument erstellen." ma:contentTypeScope="" ma:versionID="d401dff7a14b0f543d0b29241456f0ed">
  <xsd:schema xmlns:xsd="http://www.w3.org/2001/XMLSchema" xmlns:xs="http://www.w3.org/2001/XMLSchema" xmlns:p="http://schemas.microsoft.com/office/2006/metadata/properties" xmlns:ns2="f1b7111e-ce64-4a8a-b551-7c365eda8f03" targetNamespace="http://schemas.microsoft.com/office/2006/metadata/properties" ma:root="true" ma:fieldsID="758914f8bfc90043b355c978956c3510" ns2:_="">
    <xsd:import namespace="f1b7111e-ce64-4a8a-b551-7c365eda8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111e-ce64-4a8a-b551-7c365eda8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95FC6-4BB7-47B4-866F-EF8A9EDA6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7111e-ce64-4a8a-b551-7c365eda8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FE3C-EC4F-49A8-AE50-23A01059F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79E27-4DB5-4A6E-A3E0-08B6314C66C1}">
  <ds:schemaRefs>
    <ds:schemaRef ds:uri="f1b7111e-ce64-4a8a-b551-7c365eda8f0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</dc:creator>
  <cp:lastModifiedBy>LHO</cp:lastModifiedBy>
  <cp:revision>2</cp:revision>
  <dcterms:created xsi:type="dcterms:W3CDTF">2021-10-08T08:43:00Z</dcterms:created>
  <dcterms:modified xsi:type="dcterms:W3CDTF">2021-10-08T08:43:00Z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0x010100605C66EDA423D04885F8F404FFE86FEB</vt:lpwstr>
  </property>
</Properties>
</file>